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BE7E62">
        <w:rPr>
          <w:rFonts w:ascii="Tahoma" w:eastAsia="Times New Roman" w:hAnsi="Tahoma" w:cs="Tahoma"/>
          <w:sz w:val="18"/>
          <w:szCs w:val="18"/>
        </w:rPr>
        <w:t>4 а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BE7E62">
        <w:rPr>
          <w:rFonts w:ascii="Tahoma" w:eastAsia="Times New Roman" w:hAnsi="Tahoma" w:cs="Tahoma"/>
          <w:sz w:val="18"/>
          <w:szCs w:val="18"/>
        </w:rPr>
        <w:t xml:space="preserve"> г. Смоленск, </w:t>
      </w:r>
      <w:proofErr w:type="spellStart"/>
      <w:r w:rsidR="00BE7E62">
        <w:rPr>
          <w:rFonts w:ascii="Tahoma" w:eastAsia="Times New Roman" w:hAnsi="Tahoma" w:cs="Tahoma"/>
          <w:sz w:val="18"/>
          <w:szCs w:val="18"/>
        </w:rPr>
        <w:t>ул</w:t>
      </w:r>
      <w:proofErr w:type="gramStart"/>
      <w:r w:rsidR="00BE7E62">
        <w:rPr>
          <w:rFonts w:ascii="Tahoma" w:eastAsia="Times New Roman" w:hAnsi="Tahoma" w:cs="Tahoma"/>
          <w:sz w:val="18"/>
          <w:szCs w:val="18"/>
        </w:rPr>
        <w:t>.Т</w:t>
      </w:r>
      <w:proofErr w:type="gramEnd"/>
      <w:r w:rsidR="00BE7E62">
        <w:rPr>
          <w:rFonts w:ascii="Tahoma" w:eastAsia="Times New Roman" w:hAnsi="Tahoma" w:cs="Tahoma"/>
          <w:sz w:val="18"/>
          <w:szCs w:val="18"/>
        </w:rPr>
        <w:t>енишевой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BE7E62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Смоленск,ул.Тенишевой</w:t>
      </w:r>
      <w:r w:rsidR="00BE7E62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№4 а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BE7E62">
        <w:rPr>
          <w:rFonts w:ascii="Tahoma" w:eastAsia="Times New Roman" w:hAnsi="Tahoma" w:cs="Tahoma"/>
          <w:color w:val="FF0000"/>
          <w:sz w:val="18"/>
          <w:szCs w:val="18"/>
          <w:u w:val="single"/>
        </w:rPr>
        <w:t>14,09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BE7E6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№4 а</w:t>
            </w:r>
          </w:p>
          <w:p w:rsidR="004E4C93" w:rsidRPr="0057366C" w:rsidRDefault="00BE7E62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ул.Тенишевой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02" w:rsidRDefault="00681002" w:rsidP="006566FF">
      <w:pPr>
        <w:spacing w:after="0" w:line="240" w:lineRule="auto"/>
      </w:pPr>
      <w:r>
        <w:separator/>
      </w:r>
    </w:p>
  </w:endnote>
  <w:endnote w:type="continuationSeparator" w:id="0">
    <w:p w:rsidR="00681002" w:rsidRDefault="00681002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02" w:rsidRDefault="00681002" w:rsidP="006566FF">
      <w:pPr>
        <w:spacing w:after="0" w:line="240" w:lineRule="auto"/>
      </w:pPr>
      <w:r>
        <w:separator/>
      </w:r>
    </w:p>
  </w:footnote>
  <w:footnote w:type="continuationSeparator" w:id="0">
    <w:p w:rsidR="00681002" w:rsidRDefault="00681002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81002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BE7E62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AD02-E578-4D4D-8CED-E957C104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2015-04-01T07:15:00Z</cp:lastPrinted>
  <dcterms:created xsi:type="dcterms:W3CDTF">2015-03-19T13:22:00Z</dcterms:created>
  <dcterms:modified xsi:type="dcterms:W3CDTF">2015-06-04T11:47:00Z</dcterms:modified>
</cp:coreProperties>
</file>